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44" w:rsidRPr="00801744" w:rsidRDefault="00801744" w:rsidP="00801744">
      <w:pPr>
        <w:shd w:val="clear" w:color="auto" w:fill="FFFFFF"/>
        <w:spacing w:after="0" w:line="376" w:lineRule="atLeast"/>
        <w:jc w:val="both"/>
        <w:outlineLvl w:val="0"/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</w:pPr>
      <w:r w:rsidRPr="00801744">
        <w:rPr>
          <w:rFonts w:ascii="Tahoma" w:eastAsia="Times New Roman" w:hAnsi="Tahoma" w:cs="Tahoma"/>
          <w:b/>
          <w:bCs/>
          <w:color w:val="000000"/>
          <w:kern w:val="36"/>
          <w:sz w:val="27"/>
          <w:szCs w:val="27"/>
          <w:lang w:eastAsia="ru-RU"/>
        </w:rPr>
        <w:t>С</w:t>
      </w:r>
      <w:r w:rsidRPr="00801744"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  <w:t>ердечники из распылённого железа (IronPowder)</w:t>
      </w:r>
    </w:p>
    <w:p w:rsidR="00801744" w:rsidRPr="00801744" w:rsidRDefault="00801744" w:rsidP="00801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50"/>
        <w:gridCol w:w="2618"/>
      </w:tblGrid>
      <w:tr w:rsidR="00801744" w:rsidRPr="00801744" w:rsidTr="00801744">
        <w:trPr>
          <w:trHeight w:val="1845"/>
          <w:tblCellSpacing w:w="0" w:type="dxa"/>
        </w:trPr>
        <w:tc>
          <w:tcPr>
            <w:tcW w:w="5250" w:type="dxa"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>
                  <wp:extent cx="1643380" cy="1166495"/>
                  <wp:effectExtent l="19050" t="0" r="0" b="0"/>
                  <wp:docPr id="5" name="Рисунок 5" descr="Сердечники из распылённого железа (IronPowde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ердечники из распылённого железа (IronPowde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380" cy="1166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1744" w:rsidRPr="00801744" w:rsidRDefault="00801744" w:rsidP="00801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Распылённое железо (Iron Powder)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shd w:val="clear" w:color="auto" w:fill="FFFFFF"/>
          <w:lang w:eastAsia="ru-RU"/>
        </w:rPr>
        <w:t>используются при изготовлении сердечников для радиочастотных применений в течении нескольких десятилетий. Структура с распределённым воздушным зазором позволяет применять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сердечники Iron Powder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shd w:val="clear" w:color="auto" w:fill="FFFFFF"/>
          <w:lang w:eastAsia="ru-RU"/>
        </w:rPr>
        <w:t>в различных дросселях, предназначенных для накопления энергии. Во многих случаях распылённое железо может стать недорогой альтернативой молибден-пермаллою (MPP), материалам HiFlux и KoolMu, а также ферритовым и аморфным сердечникам с зазором. Описанные ниже марки распылённого железа обычно используются в дросселях фильтров дифференциальных помех, в сглаживающих дросселях на выходах ИИП, в корректорах коэффициента мощности (ККМ) и DC-DC преобразователях, работающих в непрерывном режиме, а также в пускорегулирующих устройствах энергосберегающих ламп и ламп дневного света.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</w:p>
    <w:tbl>
      <w:tblPr>
        <w:tblW w:w="4500" w:type="pct"/>
        <w:tblCellSpacing w:w="7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64"/>
        <w:gridCol w:w="1923"/>
        <w:gridCol w:w="1984"/>
        <w:gridCol w:w="1119"/>
        <w:gridCol w:w="1139"/>
        <w:gridCol w:w="1974"/>
      </w:tblGrid>
      <w:tr w:rsidR="00801744" w:rsidRPr="00801744" w:rsidTr="00801744">
        <w:trPr>
          <w:tblCellSpacing w:w="7" w:type="dxa"/>
        </w:trPr>
        <w:tc>
          <w:tcPr>
            <w:tcW w:w="0" w:type="auto"/>
            <w:vMerge w:val="restart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Материал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(номер смеси)</w:t>
            </w:r>
          </w:p>
        </w:tc>
        <w:tc>
          <w:tcPr>
            <w:tcW w:w="0" w:type="auto"/>
            <w:vMerge w:val="restart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Начальная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проницаемость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µ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vertAlign w:val="subscript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Температурный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коэффициент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проницаемости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+ppm/ºC</w:t>
            </w:r>
          </w:p>
        </w:tc>
        <w:tc>
          <w:tcPr>
            <w:tcW w:w="0" w:type="auto"/>
            <w:gridSpan w:val="2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Проницаемость при подмагничивании постоянным током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@ 62,83 А/см, 10 кГц</w:t>
            </w:r>
          </w:p>
        </w:tc>
        <w:tc>
          <w:tcPr>
            <w:tcW w:w="0" w:type="auto"/>
            <w:vMerge w:val="restart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Цветная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маркировка *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%µ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vertAlign w:val="subscript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µ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vertAlign w:val="subscript"/>
                <w:lang w:eastAsia="ru-RU"/>
              </w:rPr>
              <w:t>эфф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Красный/серый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-2/93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Серый/красный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Жёлтый/красный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-8/93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Красный/жёлтый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-14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Чёрный/красный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-18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385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40,7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Зелёный/красный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-19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650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40,7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Красный/зелёный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-26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825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Жёлтый/белый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-28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510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Серый/зелёный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-30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510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Зелёный/серый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-33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665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27,7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Серый/жёлтый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-34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565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27,7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Серый/голубой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-35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665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27,7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Жёлтый/серый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-38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955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Серый/чёрный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-40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950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Зелёный/жёлтый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-45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1040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Чёрный/чёрный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650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Зелёный/голубой</w:t>
            </w:r>
          </w:p>
        </w:tc>
      </w:tr>
    </w:tbl>
    <w:p w:rsidR="00801744" w:rsidRPr="00801744" w:rsidRDefault="00801744" w:rsidP="00801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lastRenderedPageBreak/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shd w:val="clear" w:color="auto" w:fill="FFFFFF"/>
          <w:lang w:eastAsia="ru-RU"/>
        </w:rPr>
        <w:t>*) Все цветные кодировки Micrometals защищены законом США. Бюро Патентов и Торговых Марок США зарегистрировало формальные номера и цветовые кодировки для марок -8, -18, -26 и -52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</w:p>
    <w:p w:rsidR="00801744" w:rsidRPr="00801744" w:rsidRDefault="00801744" w:rsidP="00801744">
      <w:pPr>
        <w:shd w:val="clear" w:color="auto" w:fill="FFFFFF"/>
        <w:spacing w:after="0" w:line="376" w:lineRule="atLeast"/>
        <w:jc w:val="both"/>
        <w:outlineLvl w:val="0"/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</w:pPr>
      <w:r w:rsidRPr="00801744"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  <w:t>Описание материалов</w:t>
      </w:r>
    </w:p>
    <w:p w:rsidR="00801744" w:rsidRPr="00801744" w:rsidRDefault="00801744" w:rsidP="008017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Низкая проницаемость этой смеси позволяет дросселю функционировать при значительной переменной составляющей индукции в сердечнике без возникновения чрезмерных потерь. Отлично подходит для высокочастотных применений.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-2/93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имеет высокую стабильность проницаемости при значительных токах подмагничивания. Является недорогой альтернативой смеси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в применениях, некритичных к потерям на высоких частотах.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-8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Этот материал имеет наименьшие потери среди всех марок и наилучшую стабильность проницаемости при больших токах подмагничивания. Отличный материал для высокочастотных применений, самый дорогой из перечисленных марок.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-8/93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Недорогой вариант материала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-8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с более высоким уровнем потерь. Стабильность проницаемости и прочие параметры идентичны параметрам материала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-8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-14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Аналогичен смеси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, имеет незначительно более высокую проницаемость.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-18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Умеренные потери, как у материала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-8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, при более высокой проницаемости и невысокой стоимости.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-19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Недорогая альтернатива смеси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-18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с незначительно большими потерями.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-26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Самая популярная среди смесей общего назначения. Широко используется в различных дросселях ИИП. В последнее время заменяется материалом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-52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-28/-30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Высокая стабильность проницаемости, умеренная цена и низкая проницаемость позволяют использовать эти материалы при разработке дросселей для источников бесперебойного электропитания (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ИБЭП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) большой мощности.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-33/-34/-35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Недорогая альтернатива смеси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-8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для применений, не критичных к уровню потерь на высоких частотах. Хорошая стабильность при значительном подмагничивании постоянным током.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-40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Самый дешёвый из материалов. Имеет характеристики, идентичные смеси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-26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. Популярен в крупных типоразмерах.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-45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Имеет самую высокую начальную проницаемость. Подобен материалу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-52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при более высоком значении потерь.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-52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Аналогичен популярному материалу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-26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, но имеет меньшие потери на высоких частотах. Рекомендуется для применения в новых разработках.</w:t>
      </w:r>
    </w:p>
    <w:p w:rsidR="00801744" w:rsidRPr="00801744" w:rsidRDefault="00801744" w:rsidP="00801744">
      <w:pPr>
        <w:shd w:val="clear" w:color="auto" w:fill="FFFFFF"/>
        <w:spacing w:after="0" w:line="376" w:lineRule="atLeast"/>
        <w:jc w:val="both"/>
        <w:outlineLvl w:val="0"/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</w:pPr>
      <w:r w:rsidRPr="00801744"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  <w:lastRenderedPageBreak/>
        <w:t>Температурный фактор</w:t>
      </w:r>
    </w:p>
    <w:p w:rsidR="00801744" w:rsidRPr="00801744" w:rsidRDefault="00801744" w:rsidP="008017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Сердечники из распылённого железа содержат органический диэлектрик, вследствие чего подвержены термическому старению. В результате длительного воздействия высоких температур происходит необратимое снижение проницаемости сердечника и уменьшение добротности. Степень этих изменений зависит от температуры, продолжительности воздействия, размера сердечника, частоты и значения индукции в сердечнике. Все эти факторы следует обязательно учитывать при разработке дросселя, если рабочая температура достигает 75ºC. Снижение температуры до -65ºC не вызывает изменений параметров сердечника.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>В мощных устройствах потери в дросселе могут значительно влиять на температуру всего устройства. Снижение добротности вследствие нагрева сердечника увеличивает потери на вихревые токи, что способствует дальнейшему разогреву и может привести к необратимому термическому пробою, в результате которого сердечник из магнитодиэлектрика превращается в проводник. Поэтому следует избегать рабочих режимов, при которых потери в сердечнике превышают потери в обмотках. Потери на перемагничивание не зависят от термического старения и остаются постоянными.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>Проблемы, связанные с термическим старением, рассмотрены на страницах 38-40 каталога фирмы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hyperlink r:id="rId5" w:history="1">
        <w:r w:rsidRPr="00801744">
          <w:rPr>
            <w:rFonts w:ascii="Tahoma" w:eastAsia="Times New Roman" w:hAnsi="Tahoma" w:cs="Tahoma"/>
            <w:color w:val="000000"/>
            <w:sz w:val="23"/>
            <w:u w:val="single"/>
            <w:lang w:eastAsia="ru-RU"/>
          </w:rPr>
          <w:t>Micrometals</w:t>
        </w:r>
      </w:hyperlink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. Подробно использование серчечников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IronPowder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рассмотрено в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hyperlink r:id="rId6" w:history="1">
        <w:r w:rsidRPr="00801744">
          <w:rPr>
            <w:rFonts w:ascii="Tahoma" w:eastAsia="Times New Roman" w:hAnsi="Tahoma" w:cs="Tahoma"/>
            <w:color w:val="000000"/>
            <w:sz w:val="23"/>
            <w:u w:val="single"/>
            <w:lang w:eastAsia="ru-RU"/>
          </w:rPr>
          <w:t>статье</w:t>
        </w:r>
      </w:hyperlink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"Сердечники из распылённого железа в импульсных источниках питания", журнал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«Chip News Украина»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, №№7-9 2005г (</w:t>
      </w:r>
      <w:hyperlink r:id="rId7" w:history="1">
        <w:r w:rsidRPr="00801744">
          <w:rPr>
            <w:rFonts w:ascii="Tahoma" w:eastAsia="Times New Roman" w:hAnsi="Tahoma" w:cs="Tahoma"/>
            <w:color w:val="000000"/>
            <w:sz w:val="23"/>
            <w:u w:val="single"/>
            <w:lang w:eastAsia="ru-RU"/>
          </w:rPr>
          <w:t>www.chipnews.com.ua</w:t>
        </w:r>
      </w:hyperlink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), и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"Современная Электроника"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№№1-3, 2006г (</w:t>
      </w:r>
      <w:hyperlink r:id="rId8" w:history="1">
        <w:r w:rsidRPr="00801744">
          <w:rPr>
            <w:rFonts w:ascii="Tahoma" w:eastAsia="Times New Roman" w:hAnsi="Tahoma" w:cs="Tahoma"/>
            <w:color w:val="000000"/>
            <w:sz w:val="23"/>
            <w:u w:val="single"/>
            <w:lang w:eastAsia="ru-RU"/>
          </w:rPr>
          <w:t>www.soel.ru</w:t>
        </w:r>
      </w:hyperlink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).</w:t>
      </w:r>
    </w:p>
    <w:p w:rsidR="00801744" w:rsidRPr="00801744" w:rsidRDefault="00801744" w:rsidP="00801744">
      <w:pPr>
        <w:shd w:val="clear" w:color="auto" w:fill="FFFFFF"/>
        <w:spacing w:after="0" w:line="376" w:lineRule="atLeast"/>
        <w:jc w:val="both"/>
        <w:outlineLvl w:val="0"/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</w:pPr>
      <w:r w:rsidRPr="00801744"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  <w:t>Покрытие</w:t>
      </w:r>
    </w:p>
    <w:p w:rsidR="00801744" w:rsidRPr="00801744" w:rsidRDefault="00801744" w:rsidP="0080174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Тороидальные сердечники типоразмера от Т25 и более имеют двухцветное диэлектрическое покрытие, которое выдерживает действующее напряжение 500 В, 60 Гц и большинство известных органических растворителей. Длительное воздействие некоторых растворителей может разрушить покрытие.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>Для увеличения пробивного напряжения тороидальные сердечники могут по заказу покрываться двойным или тройным слоем изоляции. Е-образные сердечники и пластины обрабатываются специальным образом для предотвращения возникновения ржавчины. Настоятельно рекомендуется защищать сердечники без диэлектрического покрытия от воздействия влаги при хранении и транспортировке.</w:t>
      </w:r>
    </w:p>
    <w:p w:rsidR="00801744" w:rsidRPr="00801744" w:rsidRDefault="00801744" w:rsidP="00801744">
      <w:pPr>
        <w:shd w:val="clear" w:color="auto" w:fill="FFFFFF"/>
        <w:spacing w:after="0" w:line="376" w:lineRule="atLeast"/>
        <w:jc w:val="both"/>
        <w:outlineLvl w:val="0"/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</w:pPr>
      <w:r w:rsidRPr="00801744"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  <w:t>Допустимые отклонения</w:t>
      </w:r>
    </w:p>
    <w:p w:rsidR="00801744" w:rsidRPr="00801744" w:rsidRDefault="00801744" w:rsidP="00801744">
      <w:pPr>
        <w:shd w:val="clear" w:color="auto" w:fill="FFFFFF"/>
        <w:spacing w:before="100" w:beforeAutospacing="1" w:after="240" w:line="240" w:lineRule="auto"/>
        <w:jc w:val="both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Все сердечники нормируются по значению значению коэффициента одновитковой индуктивности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A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vertAlign w:val="subscript"/>
          <w:lang w:eastAsia="ru-RU"/>
        </w:rPr>
        <w:t>L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; проницаемость материала приводится как справочная величина. Все значения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A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vertAlign w:val="subscript"/>
          <w:lang w:eastAsia="ru-RU"/>
        </w:rPr>
        <w:t>L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получены путём измерения при размахе переменной индукции 10 мТл на частоте 10 кГц. С целью уменьшения индуктивности рассеяния обмотка выполняется в один слой и равномерно распределяется по поверхности кольца. Неравномерное размещение обмотки влияет на результат измерений. Допустимый разброс значения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A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vertAlign w:val="subscript"/>
          <w:lang w:eastAsia="ru-RU"/>
        </w:rPr>
        <w:t>L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для смесей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и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b/>
          <w:bCs/>
          <w:color w:val="000000"/>
          <w:sz w:val="23"/>
          <w:lang w:eastAsia="ru-RU"/>
        </w:rPr>
        <w:t>-2/93</w:t>
      </w:r>
      <w:r w:rsidRPr="00801744">
        <w:rPr>
          <w:rFonts w:ascii="Tahoma" w:eastAsia="Times New Roman" w:hAnsi="Tahoma" w:cs="Tahoma"/>
          <w:color w:val="000000"/>
          <w:sz w:val="23"/>
          <w:lang w:eastAsia="ru-RU"/>
        </w:rPr>
        <w:t> 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составляет ±5%, для всех остальных ±10%.</w:t>
      </w:r>
      <w:r w:rsidRPr="00801744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</w:p>
    <w:p w:rsidR="00801744" w:rsidRPr="00801744" w:rsidRDefault="00801744" w:rsidP="00801744">
      <w:pPr>
        <w:shd w:val="clear" w:color="auto" w:fill="FFFFFF"/>
        <w:spacing w:after="0" w:line="376" w:lineRule="atLeast"/>
        <w:jc w:val="both"/>
        <w:outlineLvl w:val="0"/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</w:pPr>
      <w:r w:rsidRPr="00801744">
        <w:rPr>
          <w:rFonts w:ascii="Tahoma" w:eastAsia="Times New Roman" w:hAnsi="Tahoma" w:cs="Tahoma"/>
          <w:b/>
          <w:bCs/>
          <w:color w:val="F50025"/>
          <w:kern w:val="36"/>
          <w:sz w:val="27"/>
          <w:szCs w:val="27"/>
          <w:lang w:eastAsia="ru-RU"/>
        </w:rPr>
        <w:lastRenderedPageBreak/>
        <w:t>Кольцевые сердечники из распылённого железа</w:t>
      </w:r>
    </w:p>
    <w:p w:rsidR="00801744" w:rsidRPr="00801744" w:rsidRDefault="00801744" w:rsidP="00801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89"/>
        <w:gridCol w:w="2618"/>
      </w:tblGrid>
      <w:tr w:rsidR="00801744" w:rsidRPr="00801744" w:rsidTr="00801744">
        <w:trPr>
          <w:tblCellSpacing w:w="0" w:type="dxa"/>
        </w:trPr>
        <w:tc>
          <w:tcPr>
            <w:tcW w:w="5250" w:type="dxa"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>
                  <wp:extent cx="3339465" cy="1166495"/>
                  <wp:effectExtent l="19050" t="0" r="0" b="0"/>
                  <wp:docPr id="6" name="Рисунок 6" descr="Кольцевые сердечники из распылённого желе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ольцевые сердечники из распылённого желе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9465" cy="1166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0" w:type="dxa"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>
                  <wp:extent cx="1643380" cy="1166495"/>
                  <wp:effectExtent l="19050" t="0" r="0" b="0"/>
                  <wp:docPr id="7" name="Рисунок 7" descr="Кольцевые сердечники из распылённого желе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ольцевые сердечники из распылённого желе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380" cy="1166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1744" w:rsidRPr="00801744" w:rsidRDefault="00801744" w:rsidP="00801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500" w:type="pct"/>
        <w:tblCellSpacing w:w="7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45"/>
        <w:gridCol w:w="1288"/>
        <w:gridCol w:w="894"/>
        <w:gridCol w:w="880"/>
        <w:gridCol w:w="851"/>
        <w:gridCol w:w="727"/>
        <w:gridCol w:w="917"/>
        <w:gridCol w:w="997"/>
      </w:tblGrid>
      <w:tr w:rsidR="00801744" w:rsidRPr="00801744" w:rsidTr="00801744">
        <w:trPr>
          <w:tblCellSpacing w:w="7" w:type="dxa"/>
        </w:trPr>
        <w:tc>
          <w:tcPr>
            <w:tcW w:w="0" w:type="auto"/>
            <w:vMerge w:val="restart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A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vertAlign w:val="subscript"/>
                <w:lang w:eastAsia="ru-RU"/>
              </w:rPr>
              <w:t>L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[нГн/Вит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vertAlign w:val="superscript"/>
                <w:lang w:eastAsia="ru-RU"/>
              </w:rPr>
              <w:t>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]</w:t>
            </w:r>
          </w:p>
        </w:tc>
        <w:tc>
          <w:tcPr>
            <w:tcW w:w="0" w:type="auto"/>
            <w:gridSpan w:val="3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Размеры без покрытия</w:t>
            </w:r>
          </w:p>
        </w:tc>
        <w:tc>
          <w:tcPr>
            <w:tcW w:w="0" w:type="auto"/>
            <w:vMerge w:val="restart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l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vertAlign w:val="subscript"/>
                <w:lang w:eastAsia="ru-RU"/>
              </w:rPr>
              <w:t>e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[мм]</w:t>
            </w:r>
          </w:p>
        </w:tc>
        <w:tc>
          <w:tcPr>
            <w:tcW w:w="0" w:type="auto"/>
            <w:vMerge w:val="restart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A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vertAlign w:val="subscript"/>
                <w:lang w:eastAsia="ru-RU"/>
              </w:rPr>
              <w:t>e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[мм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vertAlign w:val="superscript"/>
                <w:lang w:eastAsia="ru-RU"/>
              </w:rPr>
              <w:t>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]</w:t>
            </w:r>
          </w:p>
        </w:tc>
        <w:tc>
          <w:tcPr>
            <w:tcW w:w="0" w:type="auto"/>
            <w:vMerge w:val="restart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V</w:t>
            </w: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vertAlign w:val="subscript"/>
                <w:lang w:eastAsia="ru-RU"/>
              </w:rPr>
              <w:t>e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[мм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vertAlign w:val="superscript"/>
                <w:lang w:eastAsia="ru-RU"/>
              </w:rPr>
              <w:t>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]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D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[мм]</w:t>
            </w:r>
          </w:p>
        </w:tc>
        <w:tc>
          <w:tcPr>
            <w:tcW w:w="0" w:type="auto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d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[мм]</w:t>
            </w:r>
          </w:p>
        </w:tc>
        <w:tc>
          <w:tcPr>
            <w:tcW w:w="0" w:type="auto"/>
            <w:shd w:val="clear" w:color="auto" w:fill="A7A6A6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b/>
                <w:bCs/>
                <w:color w:val="000000"/>
                <w:sz w:val="23"/>
                <w:lang w:eastAsia="ru-RU"/>
              </w:rPr>
              <w:t>h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[мм]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T25-2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3,4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3,4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17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24,5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20,5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31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6,48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3,05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2,44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55,0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T26-8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T26-18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T26-26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T26-45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T26-52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41,5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57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77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6,73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2,67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4,83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133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T30-2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4,3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4,3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33,5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40,5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30,5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3,84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3,25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18,4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T37-2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T37-2/93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T37-8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T37-8/93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T37-18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T37-26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T37-40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T37-45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T37-52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28,5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24,5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9,53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5,21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3,25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23,1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147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T38-2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T38-2/93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T38-8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T38-8/93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T38-18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T38-26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T38-40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T38-45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T38-52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7,4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7,4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49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41,5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9,53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4,45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4,83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21,8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248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T44-2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T44-2/93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T44-8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T44-8/93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T44-18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T44-26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T44-40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T44-45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T44-52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5,2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5,2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25,5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46,5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5,82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4,04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26,8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266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T50-2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T50-38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4,9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4,9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17,5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17,5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37,5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29,5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33,0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4,83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31,9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358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T50-8B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T50-8B/93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T50-18B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T50-26B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T50-38B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T50-40B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T50-45B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T50-52B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43,5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49,5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38,5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43,5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6,35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31,9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471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201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T50-8C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T50-26C</w:t>
            </w:r>
          </w:p>
        </w:tc>
        <w:tc>
          <w:tcPr>
            <w:tcW w:w="13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28,3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8,51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31,9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637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T50-26D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T50-40D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T50-52D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66,0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9,53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31,9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22,3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771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201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T51-8C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T51-18C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T51-26C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T51-40C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T51-52C</w:t>
            </w:r>
          </w:p>
        </w:tc>
        <w:tc>
          <w:tcPr>
            <w:tcW w:w="13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5,08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6,35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27,9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22,3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622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T60-2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T60-38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34,5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41,5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29,5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47,0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8,53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5,94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37,4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18,7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699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201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T60-26D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T60-52D</w:t>
            </w:r>
          </w:p>
        </w:tc>
        <w:tc>
          <w:tcPr>
            <w:tcW w:w="13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8,53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37,4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37,4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1400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201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T68-2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T68-38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T68-52</w:t>
            </w:r>
          </w:p>
        </w:tc>
        <w:tc>
          <w:tcPr>
            <w:tcW w:w="13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5,7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5,7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19,5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19,5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43,5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40,0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17,5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9,4</w:t>
            </w:r>
          </w:p>
        </w:tc>
        <w:tc>
          <w:tcPr>
            <w:tcW w:w="93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4,83</w:t>
            </w:r>
          </w:p>
        </w:tc>
        <w:tc>
          <w:tcPr>
            <w:tcW w:w="7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42,3</w:t>
            </w:r>
          </w:p>
        </w:tc>
        <w:tc>
          <w:tcPr>
            <w:tcW w:w="105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17,9</w:t>
            </w:r>
          </w:p>
        </w:tc>
        <w:tc>
          <w:tcPr>
            <w:tcW w:w="114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779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T68A-2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T68-2A/93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T68-8A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T68-8A/93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T68-18A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T68-26A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T68-38A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T68-40A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T68-45A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T68-52A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39,5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17,5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6,35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42,3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24,2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1030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T68-2D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T68-26D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T68-40D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T68-52D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17,5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9,53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42,3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35,8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1520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T72-2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T72-2/93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T72-8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T72-8/93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T72-18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T72-26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T72-40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T72-52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12,8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82,0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18,3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7,11</w:t>
            </w:r>
          </w:p>
        </w:tc>
        <w:tc>
          <w:tcPr>
            <w:tcW w:w="93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6,60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40,1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34,9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1400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T80-2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T80-38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39,5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20,2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6,35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51,4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23,1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1190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201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T80-8B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T80-8B/93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T80-18B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T80-26B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T80-38B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T80-40B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T80-45B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T80-52B</w:t>
            </w:r>
          </w:p>
        </w:tc>
        <w:tc>
          <w:tcPr>
            <w:tcW w:w="13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29,5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29,5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46,5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84,0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63,0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20,2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9,53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51,4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34,7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1780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T80-26D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T80-40D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T80-52D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83,0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20,2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51,4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45,3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2330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201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T90-8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T90-38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T90-45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T90-52</w:t>
            </w:r>
          </w:p>
        </w:tc>
        <w:tc>
          <w:tcPr>
            <w:tcW w:w="13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64,0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22,9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14,0</w:t>
            </w:r>
          </w:p>
        </w:tc>
        <w:tc>
          <w:tcPr>
            <w:tcW w:w="93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9,53</w:t>
            </w:r>
          </w:p>
        </w:tc>
        <w:tc>
          <w:tcPr>
            <w:tcW w:w="7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57,8</w:t>
            </w:r>
          </w:p>
        </w:tc>
        <w:tc>
          <w:tcPr>
            <w:tcW w:w="105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39,5</w:t>
            </w:r>
          </w:p>
        </w:tc>
        <w:tc>
          <w:tcPr>
            <w:tcW w:w="114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2280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201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T94-2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T94-2/93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T94-8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T94-8/93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T94-18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T94-26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T94-38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T94-40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T94-45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T94-52</w:t>
            </w:r>
          </w:p>
        </w:tc>
        <w:tc>
          <w:tcPr>
            <w:tcW w:w="13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8,4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8,4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57,0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23,9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14,2</w:t>
            </w:r>
          </w:p>
        </w:tc>
        <w:tc>
          <w:tcPr>
            <w:tcW w:w="93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7,92</w:t>
            </w:r>
          </w:p>
        </w:tc>
        <w:tc>
          <w:tcPr>
            <w:tcW w:w="7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59,7</w:t>
            </w:r>
          </w:p>
        </w:tc>
        <w:tc>
          <w:tcPr>
            <w:tcW w:w="105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36,2</w:t>
            </w:r>
          </w:p>
        </w:tc>
        <w:tc>
          <w:tcPr>
            <w:tcW w:w="114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2160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T106-2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T106-38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13,5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13,5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108,0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26,9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64,9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65,9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4280</w:t>
            </w:r>
          </w:p>
        </w:tc>
      </w:tr>
      <w:tr w:rsidR="00801744" w:rsidRPr="00801744" w:rsidTr="00801744">
        <w:trPr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T106-18A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T106-26A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T106-40A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T106-52A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67,0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26,9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7,92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64,9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46,1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3000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T106-18B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T106-26B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T106-40B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T106-52B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106,0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26,9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64,9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85,8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5570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T124-26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31,6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7,11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77,5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45,9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3550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201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T130-2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T130-28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T130-38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T130-52</w:t>
            </w:r>
          </w:p>
        </w:tc>
        <w:tc>
          <w:tcPr>
            <w:tcW w:w="13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11,0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25,0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33,5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105,0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79,0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33,0</w:t>
            </w:r>
          </w:p>
        </w:tc>
        <w:tc>
          <w:tcPr>
            <w:tcW w:w="99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19,8</w:t>
            </w:r>
          </w:p>
        </w:tc>
        <w:tc>
          <w:tcPr>
            <w:tcW w:w="93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11,1</w:t>
            </w:r>
          </w:p>
        </w:tc>
        <w:tc>
          <w:tcPr>
            <w:tcW w:w="7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82,8</w:t>
            </w:r>
          </w:p>
        </w:tc>
        <w:tc>
          <w:tcPr>
            <w:tcW w:w="105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69,8</w:t>
            </w:r>
          </w:p>
        </w:tc>
        <w:tc>
          <w:tcPr>
            <w:tcW w:w="114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5780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T130-26A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T130-40A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19,8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5,72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82,8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36,1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2990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2010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T131-8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T131-8/93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T131-18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T131-26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T131-33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T131-40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T131-52</w:t>
            </w:r>
          </w:p>
        </w:tc>
        <w:tc>
          <w:tcPr>
            <w:tcW w:w="1395" w:type="dxa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52,5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52,5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116,0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46,5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108,0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16,3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88,5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6840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T132-26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T132-40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T132-52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17,8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79,6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80,5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6410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T141-26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T141-40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T141-52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69,0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35,9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22,4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91,4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67,4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6160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T150-26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89,0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38,4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21,5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93,8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88,7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8310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T150-26A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T150-38A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T150-45A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74,5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before="100" w:beforeAutospacing="1" w:after="100" w:afterAutospacing="1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38,4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21,5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8,26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93,8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65,7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6160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T157-2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T157-38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T157-45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T157-52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33,5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105,0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79,0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39,9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24,1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101,0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106,0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10700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T175-2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T175-18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T175-26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T175-40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T175-52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105,0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105,0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44,5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16,5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134,0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15000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T184-2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T184-2/93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T184-8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T184-8/93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T184-18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T184-26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T184-28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T184-33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T184-40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T184-52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24,0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116,0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169,0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143,0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159,0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46,7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24,1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188,0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21000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T200-2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42,5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42,5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50,8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31,8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127,0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16400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T200-2B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T200-2B/93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T200-8B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T200-8B/93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T200-18B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T200-26B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T200-40B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T200-52B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21,8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21,8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78,5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78,5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160,0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142,0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155,0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50,8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31,8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232,0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30000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T201-18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T201-26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T201-40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T201-52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164,0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224,0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194,0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224,0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50,8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24,1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22,2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118,0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281,0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33200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T224-26C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T224-52C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155,0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31,8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19,1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231,0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32200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T225-2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42,5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42,5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35,7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146,0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20700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T225-2B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T225-2B/93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T225-26B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T225-52B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21,5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21,5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160,0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155,0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35,7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146,0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259,0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37800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T249-26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T249-52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203,0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203,0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63,5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35,7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156,0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336,0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52300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T250-18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T250-52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177,0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242,0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194,0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242,0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63,5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31,8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150,0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384,0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57400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T300-2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T300-2/93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11,4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11,4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23,0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34,5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71,0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77,2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49,0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12,7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198,0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168,0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33400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T300-2D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T300-2D/93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lang w:eastAsia="ru-RU"/>
              </w:rPr>
              <w:t> 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T300-26D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T300-28D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T300-33D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T300-40D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T300-52D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22,8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22,8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160,0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142,0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160,0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49,0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198,0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368,0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67000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T400-2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T400-18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T400-19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T400-30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T400-34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T300-35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96,0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131,0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40,5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40,5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115,0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131,0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16,5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346,0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86400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T400-26B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205,0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25,4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535,0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133000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T400-2D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T400-2D/93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T400-14D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T400-26D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T400-28D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T400-30D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T400-33D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T400-34D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T300-35D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T400-40D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45,5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262,0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81,0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110,0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110,0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110,0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230,0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102,0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57,2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685,0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171000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T520-2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T520-30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T520-34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T520-35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20,0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149,0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65,0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119,0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137,0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138,0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78,2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20,3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331,0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524,0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173000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lastRenderedPageBreak/>
              <w:t>T520-28D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T520-30D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T520-33D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T520-34D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T520-35D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T520-40D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65,0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119,0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137,0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138,0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78,2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40,6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331,0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1050,0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347000</w:t>
            </w:r>
          </w:p>
        </w:tc>
      </w:tr>
      <w:tr w:rsidR="00801744" w:rsidRPr="00801744" w:rsidTr="00801744">
        <w:trPr>
          <w:trHeight w:val="30"/>
          <w:tblCellSpacing w:w="7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T650-2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T650-2/93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T650-8/93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T650-26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T650-28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T650-30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T650-33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T650-34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T650-35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T650-40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T650-52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58,0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200,0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200,0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434,0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127,0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191,0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191,0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191,0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376,0</w:t>
            </w: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br/>
              <w:t>405,0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165,0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88,9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50,8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399,0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1840,0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01744" w:rsidRPr="00801744" w:rsidRDefault="00801744" w:rsidP="00801744">
            <w:pPr>
              <w:spacing w:after="0" w:line="30" w:lineRule="atLeast"/>
              <w:jc w:val="center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801744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734000</w:t>
            </w:r>
          </w:p>
        </w:tc>
      </w:tr>
    </w:tbl>
    <w:p w:rsidR="00801744" w:rsidRPr="00801744" w:rsidRDefault="00801744" w:rsidP="00801744"/>
    <w:sectPr w:rsidR="00801744" w:rsidRPr="0080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defaultTabStop w:val="708"/>
  <w:characterSpacingControl w:val="doNotCompress"/>
  <w:compat/>
  <w:rsids>
    <w:rsidRoot w:val="00801744"/>
    <w:rsid w:val="0080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17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17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801744"/>
    <w:rPr>
      <w:b/>
      <w:bCs/>
    </w:rPr>
  </w:style>
  <w:style w:type="character" w:customStyle="1" w:styleId="apple-converted-space">
    <w:name w:val="apple-converted-space"/>
    <w:basedOn w:val="a0"/>
    <w:rsid w:val="00801744"/>
  </w:style>
  <w:style w:type="paragraph" w:styleId="a4">
    <w:name w:val="Normal (Web)"/>
    <w:basedOn w:val="a"/>
    <w:uiPriority w:val="99"/>
    <w:unhideWhenUsed/>
    <w:rsid w:val="00801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1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174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8017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el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hipnews.com.ua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errite.com.ua/user_files/File/literature/literature5.zi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icrometals.com/pcparts/PC_L.pdf" TargetMode="External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1959</Words>
  <Characters>11167</Characters>
  <Application>Microsoft Office Word</Application>
  <DocSecurity>0</DocSecurity>
  <Lines>93</Lines>
  <Paragraphs>26</Paragraphs>
  <ScaleCrop>false</ScaleCrop>
  <Company/>
  <LinksUpToDate>false</LinksUpToDate>
  <CharactersWithSpaces>13100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Morelock</dc:creator>
  <cp:lastModifiedBy>Morelock</cp:lastModifiedBy>
  <cp:revision>1</cp:revision>
  <dcterms:created xsi:type="dcterms:W3CDTF">2012-06-06T14:56:00Z</dcterms:created>
  <dcterms:modified xsi:type="dcterms:W3CDTF">2012-06-06T14:57:00Z</dcterms:modified>
</cp:coreProperties>
</file>